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ind w:firstLine="0" w:firstLineChars="0"/>
        <w:jc w:val="center"/>
        <w:rPr>
          <w:rFonts w:cs="Times New Roman"/>
          <w:b/>
          <w:bCs/>
          <w:color w:val="auto"/>
          <w:sz w:val="18"/>
          <w:szCs w:val="18"/>
        </w:rPr>
      </w:pPr>
      <w:bookmarkStart w:id="0" w:name="_GoBack"/>
      <w:r>
        <w:rPr>
          <w:rFonts w:hint="eastAsia" w:cs="Times New Roman"/>
          <w:b/>
          <w:bCs/>
          <w:color w:val="auto"/>
          <w:sz w:val="18"/>
          <w:szCs w:val="18"/>
        </w:rPr>
        <w:t>美国科学数据发展中的主要法律</w:t>
      </w:r>
    </w:p>
    <w:bookmarkEnd w:id="0"/>
    <w:p>
      <w:pPr>
        <w:spacing w:after="156" w:afterLines="50"/>
        <w:ind w:firstLine="0" w:firstLineChars="0"/>
        <w:jc w:val="center"/>
        <w:rPr>
          <w:rFonts w:cs="Times New Roman"/>
          <w:b/>
          <w:bCs/>
          <w:color w:val="auto"/>
          <w:sz w:val="18"/>
          <w:szCs w:val="18"/>
        </w:rPr>
      </w:pPr>
      <w:r>
        <w:rPr>
          <w:rFonts w:cs="Times New Roman"/>
          <w:b/>
          <w:bCs/>
          <w:color w:val="auto"/>
          <w:sz w:val="18"/>
          <w:szCs w:val="18"/>
        </w:rPr>
        <w:t>Main Laws in the Development of Scientific Data</w:t>
      </w:r>
      <w:r>
        <w:rPr>
          <w:rFonts w:hint="eastAsia" w:cs="Times New Roman"/>
          <w:b/>
          <w:bCs/>
          <w:color w:val="auto"/>
          <w:sz w:val="18"/>
          <w:szCs w:val="18"/>
        </w:rPr>
        <w:t xml:space="preserve"> in the United States</w:t>
      </w:r>
    </w:p>
    <w:tbl>
      <w:tblPr>
        <w:tblStyle w:val="3"/>
        <w:tblW w:w="809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947"/>
        <w:gridCol w:w="53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b/>
                <w:bCs/>
                <w:color w:val="auto"/>
                <w:sz w:val="18"/>
                <w:szCs w:val="18"/>
              </w:rPr>
            </w:pPr>
            <w:r>
              <w:rPr>
                <w:rFonts w:hint="eastAsia" w:cs="Times New Roman"/>
                <w:b/>
                <w:bCs/>
                <w:color w:val="auto"/>
                <w:sz w:val="18"/>
                <w:szCs w:val="18"/>
              </w:rPr>
              <w:t>年份</w:t>
            </w:r>
          </w:p>
        </w:tc>
        <w:tc>
          <w:tcPr>
            <w:tcW w:w="1947" w:type="dxa"/>
            <w:tcBorders>
              <w:tl2br w:val="nil"/>
              <w:tr2bl w:val="nil"/>
            </w:tcBorders>
            <w:vAlign w:val="center"/>
          </w:tcPr>
          <w:p>
            <w:pPr>
              <w:spacing w:line="240" w:lineRule="auto"/>
              <w:ind w:firstLine="361"/>
              <w:rPr>
                <w:rFonts w:cs="Times New Roman"/>
                <w:b/>
                <w:bCs/>
                <w:color w:val="auto"/>
                <w:sz w:val="18"/>
                <w:szCs w:val="18"/>
              </w:rPr>
            </w:pPr>
            <w:r>
              <w:rPr>
                <w:rFonts w:hint="eastAsia" w:cs="Times New Roman"/>
                <w:b/>
                <w:bCs/>
                <w:color w:val="auto"/>
                <w:sz w:val="18"/>
                <w:szCs w:val="18"/>
              </w:rPr>
              <w:t>法律名称</w:t>
            </w:r>
          </w:p>
        </w:tc>
        <w:tc>
          <w:tcPr>
            <w:tcW w:w="5397" w:type="dxa"/>
            <w:tcBorders>
              <w:tl2br w:val="nil"/>
              <w:tr2bl w:val="nil"/>
            </w:tcBorders>
            <w:vAlign w:val="center"/>
          </w:tcPr>
          <w:p>
            <w:pPr>
              <w:spacing w:line="240" w:lineRule="auto"/>
              <w:ind w:firstLine="0" w:firstLineChars="0"/>
              <w:jc w:val="center"/>
              <w:rPr>
                <w:rFonts w:cs="Times New Roman"/>
                <w:b/>
                <w:bCs/>
                <w:color w:val="auto"/>
                <w:sz w:val="18"/>
                <w:szCs w:val="18"/>
              </w:rPr>
            </w:pPr>
            <w:r>
              <w:rPr>
                <w:rFonts w:hint="eastAsia" w:cs="Times New Roman"/>
                <w:b/>
                <w:bCs/>
                <w:color w:val="auto"/>
                <w:sz w:val="18"/>
                <w:szCs w:val="18"/>
              </w:rPr>
              <w:t>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1966</w:t>
            </w:r>
          </w:p>
        </w:tc>
        <w:tc>
          <w:tcPr>
            <w:tcW w:w="194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《信息自由法》</w:t>
            </w:r>
          </w:p>
        </w:tc>
        <w:tc>
          <w:tcPr>
            <w:tcW w:w="5397" w:type="dxa"/>
            <w:tcBorders>
              <w:tl2br w:val="nil"/>
              <w:tr2bl w:val="nil"/>
            </w:tcBorders>
            <w:vAlign w:val="center"/>
          </w:tcPr>
          <w:p>
            <w:pPr>
              <w:spacing w:line="240" w:lineRule="auto"/>
              <w:ind w:firstLine="0" w:firstLineChars="0"/>
              <w:rPr>
                <w:rFonts w:hint="eastAsia" w:eastAsia="宋体" w:cs="Times New Roman"/>
                <w:color w:val="auto"/>
                <w:sz w:val="18"/>
                <w:szCs w:val="18"/>
                <w:lang w:eastAsia="zh-CN"/>
              </w:rPr>
            </w:pPr>
            <w:r>
              <w:rPr>
                <w:rFonts w:hint="eastAsia" w:cs="Times New Roman"/>
                <w:color w:val="auto"/>
                <w:sz w:val="18"/>
                <w:szCs w:val="18"/>
              </w:rPr>
              <w:t>准许任何人向政府部门请求对特定信息内容的公开</w:t>
            </w:r>
            <w:r>
              <w:rPr>
                <w:rFonts w:hint="eastAsia" w:cs="Times New Roman"/>
                <w:color w:val="auto"/>
                <w:sz w:val="18"/>
                <w:szCs w:val="18"/>
                <w:lang w:eastAsia="zh-CN"/>
              </w:rPr>
              <w:t>，</w:t>
            </w:r>
            <w:r>
              <w:rPr>
                <w:rFonts w:hint="eastAsia" w:cs="Times New Roman"/>
                <w:color w:val="auto"/>
                <w:sz w:val="18"/>
                <w:szCs w:val="18"/>
              </w:rPr>
              <w:t>而政府部门则需要作出答复并在信息非涉密的情形下加以公开</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1995</w:t>
            </w:r>
          </w:p>
        </w:tc>
        <w:tc>
          <w:tcPr>
            <w:tcW w:w="194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《文书减负法》</w:t>
            </w:r>
            <w:r>
              <w:rPr>
                <w:rFonts w:hint="eastAsia"/>
                <w:color w:val="auto"/>
                <w:vertAlign w:val="superscript"/>
              </w:rPr>
              <w:t>[1</w:t>
            </w:r>
            <w:r>
              <w:rPr>
                <w:rFonts w:hint="eastAsia"/>
                <w:color w:val="auto"/>
                <w:vertAlign w:val="superscript"/>
                <w:lang w:val="en-US" w:eastAsia="zh-CN"/>
              </w:rPr>
              <w:t>0</w:t>
            </w:r>
            <w:r>
              <w:rPr>
                <w:rFonts w:hint="eastAsia"/>
                <w:color w:val="auto"/>
                <w:vertAlign w:val="superscript"/>
              </w:rPr>
              <w:t>]</w:t>
            </w:r>
          </w:p>
        </w:tc>
        <w:tc>
          <w:tcPr>
            <w:tcW w:w="5397" w:type="dxa"/>
            <w:tcBorders>
              <w:tl2br w:val="nil"/>
              <w:tr2bl w:val="nil"/>
            </w:tcBorders>
            <w:vAlign w:val="center"/>
          </w:tcPr>
          <w:p>
            <w:pPr>
              <w:spacing w:line="240" w:lineRule="auto"/>
              <w:ind w:firstLine="0" w:firstLineChars="0"/>
              <w:rPr>
                <w:rFonts w:hint="eastAsia" w:eastAsia="宋体" w:cs="Times New Roman"/>
                <w:color w:val="auto"/>
                <w:sz w:val="18"/>
                <w:szCs w:val="18"/>
                <w:lang w:eastAsia="zh-CN"/>
              </w:rPr>
            </w:pPr>
            <w:r>
              <w:rPr>
                <w:rFonts w:hint="eastAsia" w:cs="Times New Roman"/>
                <w:color w:val="auto"/>
                <w:sz w:val="18"/>
                <w:szCs w:val="18"/>
              </w:rPr>
              <w:t>尽可能维护国家公共权益,让地方政府或由联邦政府机构制作、收集</w:t>
            </w:r>
            <w:r>
              <w:rPr>
                <w:rFonts w:hint="eastAsia" w:cs="Times New Roman"/>
                <w:color w:val="auto"/>
                <w:sz w:val="18"/>
                <w:szCs w:val="18"/>
                <w:lang w:eastAsia="zh-CN"/>
              </w:rPr>
              <w:t>、</w:t>
            </w:r>
            <w:r>
              <w:rPr>
                <w:rFonts w:hint="eastAsia" w:cs="Times New Roman"/>
                <w:color w:val="auto"/>
                <w:sz w:val="18"/>
                <w:szCs w:val="18"/>
              </w:rPr>
              <w:t>储存、利用，共享和传递的信息效能最大化</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2002</w:t>
            </w:r>
          </w:p>
        </w:tc>
        <w:tc>
          <w:tcPr>
            <w:tcW w:w="194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《电子政务法》</w:t>
            </w:r>
            <w:r>
              <w:rPr>
                <w:rFonts w:hint="eastAsia"/>
                <w:color w:val="auto"/>
                <w:vertAlign w:val="superscript"/>
              </w:rPr>
              <w:t>[1</w:t>
            </w:r>
            <w:r>
              <w:rPr>
                <w:rFonts w:hint="eastAsia"/>
                <w:color w:val="auto"/>
                <w:vertAlign w:val="superscript"/>
                <w:lang w:val="en-US" w:eastAsia="zh-CN"/>
              </w:rPr>
              <w:t>1</w:t>
            </w:r>
            <w:r>
              <w:rPr>
                <w:rFonts w:hint="eastAsia"/>
                <w:color w:val="auto"/>
                <w:vertAlign w:val="superscript"/>
              </w:rPr>
              <w:t>]</w:t>
            </w:r>
          </w:p>
        </w:tc>
        <w:tc>
          <w:tcPr>
            <w:tcW w:w="5397" w:type="dxa"/>
            <w:tcBorders>
              <w:tl2br w:val="nil"/>
              <w:tr2bl w:val="nil"/>
            </w:tcBorders>
            <w:vAlign w:val="center"/>
          </w:tcPr>
          <w:p>
            <w:pPr>
              <w:spacing w:line="240" w:lineRule="auto"/>
              <w:ind w:firstLine="0" w:firstLineChars="0"/>
              <w:rPr>
                <w:rFonts w:hint="eastAsia" w:eastAsia="宋体" w:cs="Times New Roman"/>
                <w:color w:val="auto"/>
                <w:sz w:val="18"/>
                <w:szCs w:val="18"/>
                <w:lang w:eastAsia="zh-CN"/>
              </w:rPr>
            </w:pPr>
            <w:r>
              <w:rPr>
                <w:rFonts w:hint="eastAsia" w:cs="Times New Roman"/>
                <w:color w:val="auto"/>
                <w:sz w:val="18"/>
                <w:szCs w:val="18"/>
              </w:rPr>
              <w:t>为了保证政府对联邦各部门信息化项目的有力支持</w:t>
            </w:r>
            <w:r>
              <w:rPr>
                <w:rFonts w:hint="eastAsia" w:cs="Times New Roman"/>
                <w:color w:val="auto"/>
                <w:sz w:val="18"/>
                <w:szCs w:val="18"/>
                <w:lang w:eastAsia="zh-CN"/>
              </w:rPr>
              <w:t>，</w:t>
            </w:r>
            <w:r>
              <w:rPr>
                <w:rFonts w:hint="eastAsia" w:cs="Times New Roman"/>
                <w:color w:val="auto"/>
                <w:sz w:val="18"/>
                <w:szCs w:val="18"/>
              </w:rPr>
              <w:t>并确定信息安全目标</w:t>
            </w:r>
            <w:r>
              <w:rPr>
                <w:rFonts w:hint="eastAsia" w:cs="Times New Roman"/>
                <w:color w:val="auto"/>
                <w:sz w:val="18"/>
                <w:szCs w:val="18"/>
                <w:lang w:eastAsia="zh-CN"/>
              </w:rPr>
              <w:t>，</w:t>
            </w:r>
            <w:r>
              <w:rPr>
                <w:rFonts w:hint="eastAsia" w:cs="Times New Roman"/>
                <w:color w:val="auto"/>
                <w:sz w:val="18"/>
                <w:szCs w:val="18"/>
              </w:rPr>
              <w:t>确立了全面的电子政府架构</w:t>
            </w:r>
            <w:r>
              <w:rPr>
                <w:rFonts w:hint="eastAsia" w:cs="Times New Roman"/>
                <w:color w:val="auto"/>
                <w:sz w:val="18"/>
                <w:szCs w:val="18"/>
                <w:lang w:eastAsia="zh-CN"/>
              </w:rPr>
              <w:t>，</w:t>
            </w:r>
            <w:r>
              <w:rPr>
                <w:rFonts w:hint="eastAsia" w:cs="Times New Roman"/>
                <w:color w:val="auto"/>
                <w:sz w:val="18"/>
                <w:szCs w:val="18"/>
              </w:rPr>
              <w:t>以保证通过网络和计算机技术广泛应用政府的信息服务</w:t>
            </w:r>
            <w:r>
              <w:rPr>
                <w:rFonts w:hint="eastAsia" w:cs="Times New Roman"/>
                <w:color w:val="auto"/>
                <w:sz w:val="18"/>
                <w:szCs w:val="18"/>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2010</w:t>
            </w:r>
          </w:p>
        </w:tc>
        <w:tc>
          <w:tcPr>
            <w:tcW w:w="194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《美国竞争力再授权法案2010》</w:t>
            </w:r>
            <w:r>
              <w:rPr>
                <w:rFonts w:hint="eastAsia"/>
                <w:color w:val="auto"/>
                <w:vertAlign w:val="superscript"/>
              </w:rPr>
              <w:t>[1</w:t>
            </w:r>
            <w:r>
              <w:rPr>
                <w:rFonts w:hint="eastAsia"/>
                <w:color w:val="auto"/>
                <w:vertAlign w:val="superscript"/>
                <w:lang w:val="en-US" w:eastAsia="zh-CN"/>
              </w:rPr>
              <w:t>2</w:t>
            </w:r>
            <w:r>
              <w:rPr>
                <w:rFonts w:hint="eastAsia"/>
                <w:color w:val="auto"/>
                <w:vertAlign w:val="superscript"/>
              </w:rPr>
              <w:t>]</w:t>
            </w:r>
          </w:p>
        </w:tc>
        <w:tc>
          <w:tcPr>
            <w:tcW w:w="5397" w:type="dxa"/>
            <w:tcBorders>
              <w:tl2br w:val="nil"/>
              <w:tr2bl w:val="nil"/>
            </w:tcBorders>
            <w:vAlign w:val="center"/>
          </w:tcPr>
          <w:p>
            <w:pPr>
              <w:spacing w:line="240" w:lineRule="auto"/>
              <w:ind w:firstLine="0" w:firstLineChars="0"/>
              <w:rPr>
                <w:rFonts w:cs="Times New Roman"/>
                <w:color w:val="auto"/>
                <w:sz w:val="18"/>
                <w:szCs w:val="18"/>
              </w:rPr>
            </w:pPr>
            <w:r>
              <w:rPr>
                <w:rFonts w:hint="eastAsia" w:cs="Times New Roman"/>
                <w:color w:val="auto"/>
                <w:sz w:val="18"/>
                <w:szCs w:val="18"/>
              </w:rPr>
              <w:t>设立</w:t>
            </w:r>
            <w:r>
              <w:rPr>
                <w:rFonts w:hint="eastAsia" w:cs="Times New Roman"/>
                <w:color w:val="auto"/>
                <w:sz w:val="18"/>
                <w:szCs w:val="18"/>
                <w:lang w:eastAsia="zh-CN"/>
              </w:rPr>
              <w:t>“</w:t>
            </w:r>
            <w:r>
              <w:rPr>
                <w:rFonts w:cs="Times New Roman"/>
                <w:color w:val="auto"/>
                <w:sz w:val="18"/>
                <w:szCs w:val="18"/>
              </w:rPr>
              <w:t>跨机构公众访问委员公</w:t>
            </w:r>
            <w:r>
              <w:rPr>
                <w:rFonts w:hint="eastAsia" w:cs="Times New Roman"/>
                <w:color w:val="auto"/>
                <w:sz w:val="18"/>
                <w:szCs w:val="18"/>
                <w:lang w:eastAsia="zh-CN"/>
              </w:rPr>
              <w:t>”</w:t>
            </w:r>
            <w:r>
              <w:rPr>
                <w:rFonts w:hint="eastAsia" w:cs="Times New Roman"/>
                <w:color w:val="auto"/>
                <w:sz w:val="18"/>
                <w:szCs w:val="18"/>
              </w:rPr>
              <w:t>，负责协调联邦科学机构的研究和政策，协调各类数据统一标准的制定或指定，最大限度地提高美国非机密研究数据库与国际数据库和储存库之间的互操作性。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2018</w:t>
            </w:r>
          </w:p>
        </w:tc>
        <w:tc>
          <w:tcPr>
            <w:tcW w:w="1947" w:type="dxa"/>
            <w:tcBorders>
              <w:tl2br w:val="nil"/>
              <w:tr2bl w:val="nil"/>
            </w:tcBorders>
            <w:vAlign w:val="center"/>
          </w:tcPr>
          <w:p>
            <w:pPr>
              <w:spacing w:line="240" w:lineRule="auto"/>
              <w:ind w:firstLine="0" w:firstLineChars="0"/>
              <w:rPr>
                <w:rFonts w:cs="Times New Roman"/>
                <w:color w:val="auto"/>
                <w:sz w:val="18"/>
                <w:szCs w:val="18"/>
              </w:rPr>
            </w:pPr>
            <w:r>
              <w:rPr>
                <w:rFonts w:hint="eastAsia" w:cs="Times New Roman"/>
                <w:color w:val="auto"/>
                <w:sz w:val="18"/>
                <w:szCs w:val="18"/>
              </w:rPr>
              <w:t>《</w:t>
            </w:r>
            <w:r>
              <w:rPr>
                <w:rFonts w:cs="Times New Roman"/>
                <w:color w:val="auto"/>
                <w:sz w:val="18"/>
                <w:szCs w:val="18"/>
              </w:rPr>
              <w:t>开放政府数据法案</w:t>
            </w:r>
            <w:r>
              <w:rPr>
                <w:rFonts w:hint="eastAsia" w:cs="Times New Roman"/>
                <w:color w:val="auto"/>
                <w:sz w:val="18"/>
                <w:szCs w:val="18"/>
              </w:rPr>
              <w:t>》</w:t>
            </w:r>
            <w:r>
              <w:rPr>
                <w:rFonts w:hint="eastAsia"/>
                <w:color w:val="auto"/>
                <w:vertAlign w:val="superscript"/>
              </w:rPr>
              <w:t>[</w:t>
            </w:r>
            <w:r>
              <w:rPr>
                <w:rFonts w:hint="eastAsia"/>
                <w:color w:val="auto"/>
                <w:vertAlign w:val="superscript"/>
                <w:lang w:val="en-US" w:eastAsia="zh-CN"/>
              </w:rPr>
              <w:t>13</w:t>
            </w:r>
            <w:r>
              <w:rPr>
                <w:rFonts w:hint="eastAsia"/>
                <w:color w:val="auto"/>
                <w:vertAlign w:val="superscript"/>
              </w:rPr>
              <w:t>]</w:t>
            </w:r>
          </w:p>
        </w:tc>
        <w:tc>
          <w:tcPr>
            <w:tcW w:w="539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政府信息应以机器可读的格式，默认向公众开放，且不损害隐私或安全</w:t>
            </w:r>
            <w:r>
              <w:rPr>
                <w:rFonts w:hint="eastAsia" w:cs="Times New Roman"/>
                <w:color w:val="auto"/>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2019</w:t>
            </w:r>
          </w:p>
        </w:tc>
        <w:tc>
          <w:tcPr>
            <w:tcW w:w="1947" w:type="dxa"/>
            <w:tcBorders>
              <w:tl2br w:val="nil"/>
              <w:tr2bl w:val="nil"/>
            </w:tcBorders>
            <w:vAlign w:val="center"/>
          </w:tcPr>
          <w:p>
            <w:pPr>
              <w:spacing w:line="240" w:lineRule="auto"/>
              <w:ind w:firstLine="0" w:firstLineChars="0"/>
              <w:rPr>
                <w:rFonts w:hint="default" w:eastAsia="宋体" w:cs="Times New Roman"/>
                <w:color w:val="auto"/>
                <w:sz w:val="18"/>
                <w:szCs w:val="18"/>
                <w:vertAlign w:val="superscript"/>
                <w:lang w:val="en-US" w:eastAsia="zh-CN"/>
              </w:rPr>
            </w:pPr>
            <w:r>
              <w:rPr>
                <w:rFonts w:hint="eastAsia" w:cs="Times New Roman"/>
                <w:color w:val="auto"/>
                <w:sz w:val="18"/>
                <w:szCs w:val="18"/>
              </w:rPr>
              <w:t>《循证决策基础法案》</w:t>
            </w:r>
            <w:r>
              <w:rPr>
                <w:rFonts w:hint="eastAsia" w:cs="Times New Roman"/>
                <w:color w:val="auto"/>
                <w:sz w:val="18"/>
                <w:szCs w:val="18"/>
                <w:vertAlign w:val="superscript"/>
                <w:lang w:val="en-US" w:eastAsia="zh-CN"/>
              </w:rPr>
              <w:t>[14]</w:t>
            </w:r>
          </w:p>
        </w:tc>
        <w:tc>
          <w:tcPr>
            <w:tcW w:w="5397" w:type="dxa"/>
            <w:tcBorders>
              <w:tl2br w:val="nil"/>
              <w:tr2bl w:val="nil"/>
            </w:tcBorders>
            <w:vAlign w:val="center"/>
          </w:tcPr>
          <w:p>
            <w:pPr>
              <w:spacing w:line="240" w:lineRule="auto"/>
              <w:ind w:firstLine="0" w:firstLineChars="0"/>
              <w:rPr>
                <w:rFonts w:cs="Times New Roman"/>
                <w:color w:val="auto"/>
                <w:sz w:val="18"/>
                <w:szCs w:val="18"/>
              </w:rPr>
            </w:pPr>
            <w:r>
              <w:rPr>
                <w:rFonts w:hint="eastAsia" w:cs="Times New Roman"/>
                <w:color w:val="auto"/>
                <w:sz w:val="18"/>
                <w:szCs w:val="18"/>
              </w:rPr>
              <w:t>该法案要求机构数据可供访问，</w:t>
            </w:r>
            <w:r>
              <w:rPr>
                <w:rFonts w:hint="eastAsia" w:cs="Times New Roman"/>
                <w:color w:val="auto"/>
                <w:sz w:val="18"/>
                <w:szCs w:val="18"/>
                <w:lang w:val="en-US" w:eastAsia="zh-CN"/>
              </w:rPr>
              <w:t>建立数据治理机构</w:t>
            </w:r>
            <w:r>
              <w:rPr>
                <w:rFonts w:hint="eastAsia" w:cs="Times New Roman"/>
                <w:color w:val="auto"/>
                <w:sz w:val="18"/>
                <w:szCs w:val="18"/>
              </w:rPr>
              <w:t>每年向管理和预算办公室（OMB）和国会提交一份机构战略计，</w:t>
            </w:r>
            <w:r>
              <w:rPr>
                <w:rFonts w:ascii="Arial" w:hAnsi="Arial" w:cs="Arial"/>
                <w:color w:val="333333"/>
                <w:sz w:val="18"/>
                <w:szCs w:val="18"/>
                <w:shd w:val="clear" w:color="auto" w:fill="FFFFFF"/>
              </w:rPr>
              <w:t>该计划必须包括该机构打算收集、使用或获取的数据</w:t>
            </w:r>
            <w:r>
              <w:rPr>
                <w:rFonts w:hint="eastAsia" w:ascii="Arial" w:hAnsi="Arial" w:cs="Arial"/>
                <w:color w:val="333333"/>
                <w:sz w:val="18"/>
                <w:szCs w:val="18"/>
                <w:shd w:val="clear" w:color="auto" w:fill="FFFFFF"/>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2022</w:t>
            </w:r>
          </w:p>
        </w:tc>
        <w:tc>
          <w:tcPr>
            <w:tcW w:w="1947" w:type="dxa"/>
            <w:tcBorders>
              <w:tl2br w:val="nil"/>
              <w:tr2bl w:val="nil"/>
            </w:tcBorders>
            <w:vAlign w:val="center"/>
          </w:tcPr>
          <w:p>
            <w:pPr>
              <w:spacing w:line="240" w:lineRule="auto"/>
              <w:ind w:firstLine="0" w:firstLineChars="0"/>
              <w:rPr>
                <w:rFonts w:cs="Times New Roman"/>
                <w:color w:val="auto"/>
                <w:sz w:val="18"/>
                <w:szCs w:val="18"/>
              </w:rPr>
            </w:pPr>
            <w:r>
              <w:rPr>
                <w:rFonts w:hint="eastAsia" w:cs="Times New Roman"/>
                <w:color w:val="auto"/>
                <w:sz w:val="18"/>
                <w:szCs w:val="18"/>
              </w:rPr>
              <w:t>《美国数据隐私和保护法案》</w:t>
            </w:r>
            <w:r>
              <w:rPr>
                <w:rFonts w:hint="eastAsia" w:cs="Times New Roman"/>
                <w:color w:val="auto"/>
                <w:sz w:val="18"/>
                <w:szCs w:val="18"/>
                <w:vertAlign w:val="superscript"/>
                <w:lang w:val="en-US" w:eastAsia="zh-CN"/>
              </w:rPr>
              <w:t>[15]</w:t>
            </w:r>
          </w:p>
        </w:tc>
        <w:tc>
          <w:tcPr>
            <w:tcW w:w="5397" w:type="dxa"/>
            <w:tcBorders>
              <w:tl2br w:val="nil"/>
              <w:tr2bl w:val="nil"/>
            </w:tcBorders>
            <w:vAlign w:val="center"/>
          </w:tcPr>
          <w:p>
            <w:pPr>
              <w:spacing w:line="240" w:lineRule="auto"/>
              <w:ind w:firstLine="0" w:firstLineChars="0"/>
              <w:rPr>
                <w:rFonts w:cs="Times New Roman"/>
                <w:color w:val="auto"/>
                <w:sz w:val="18"/>
                <w:szCs w:val="18"/>
              </w:rPr>
            </w:pPr>
            <w:r>
              <w:rPr>
                <w:rFonts w:hint="eastAsia" w:cs="Times New Roman"/>
                <w:color w:val="auto"/>
                <w:sz w:val="18"/>
                <w:szCs w:val="18"/>
              </w:rPr>
              <w:t>促进对隐私增强技术的探索，提高政府现有的数据共享能力，确保共同实现数据共享和隐私保护。</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20"/>
      </w:pPr>
      <w:r>
        <w:separator/>
      </w:r>
    </w:p>
  </w:footnote>
  <w:footnote w:type="continuationSeparator" w:id="1">
    <w:p>
      <w:pPr>
        <w:spacing w:line="276"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kZjYyZTVkMDZmOWEyYmUzM2Y0ZDhiMDJlZTBlMTcifQ=="/>
  </w:docVars>
  <w:rsids>
    <w:rsidRoot w:val="741317B1"/>
    <w:rsid w:val="74131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883" w:firstLineChars="200"/>
      <w:jc w:val="both"/>
    </w:pPr>
    <w:rPr>
      <w:rFonts w:ascii="Times New Roman" w:hAnsi="Times New Roman" w:eastAsia="宋体" w:cstheme="minorBidi"/>
      <w:color w:val="000000" w:themeColor="text1"/>
      <w:kern w:val="2"/>
      <w:sz w:val="21"/>
      <w:szCs w:val="24"/>
      <w:lang w:val="en-US" w:eastAsia="zh-CN" w:bidi="ar-SA"/>
      <w14:textFill>
        <w14:solidFill>
          <w14:schemeClr w14:val="tx1"/>
        </w14:solidFill>
      </w14:textFill>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2023-08-24T02:49:00Z</dcterms:created>
  <dc:creator>文档存本地丢失不负责</dc:creator>
  <cp:lastModifiedBy>文档存本地丢失不负责</cp:lastModifiedBy>
  <dcterms:modified xsi:type="dcterms:W3CDTF">2023-08-24T02:50:40Z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A6D42306FA304F0FA5DD819A74CB0973_11</vt:lpwstr>
  </property>
</Properties>
</file>